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 154</w:t>
      </w:r>
    </w:p>
    <w:p>
      <w:r>
        <w:t>Bundesgericht (BGE), 1978-02-02, DE</w:t>
      </w:r>
    </w:p>
    <w:p>
      <w:r>
        <w:rPr>
          <w:b/>
        </w:rPr>
        <w:t xml:space="preserve">Quelle: </w:t>
      </w:r>
      <w:r>
        <w:t>https://mcp.opencaselaw.ch/entscheid/bge_104 II 154</w:t>
      </w:r>
    </w:p>
    <w:p>
      <w:r>
        <w:t>FR: ATF 104 II 154</w:t>
      </w:r>
    </w:p>
    <w:p>
      <w:r>
        <w:t>IT: DTF 104 II 154</w:t>
      </w:r>
    </w:p>
    <w:p>
      <w:pPr>
        <w:pStyle w:val="Heading2"/>
      </w:pPr>
      <w:r>
        <w:t>Regeste</w:t>
      </w:r>
    </w:p>
    <w:p>
      <w:r>
        <w:t>Regeste Art. 153 Abs. 1 ZGB. Die Pflicht zur Entrichtung einer Rente im Sinne von Art. 151 oder 152 ZGB hört auf, wenn der rentenberechtigte Ehegatte nach der Scheidung mit einem Angehörigen des andern Geschlechts eine eheähnliche Lebensgemeinschaft bildet, diesen aber nur deswegen nicht heiratet, um der gesetzlichen Folge des Rentenverlustes auszuweichen.</w:t>
      </w:r>
    </w:p>
    <w:p>
      <w:pPr>
        <w:pStyle w:val="Heading2"/>
      </w:pPr>
      <w:r>
        <w:t>Erwägungen</w:t>
      </w:r>
    </w:p>
    <w:p>
      <w:r>
        <w:rPr>
          <w:b/>
        </w:rPr>
        <w:t>E. 1</w:t>
      </w:r>
    </w:p>
    <w:p>
      <w:r>
        <w:t>Nach Art. 153 Abs. 1 ZGB hört die Pflicht zur Entrichtung einer Rente im Sinne von Art. 151 bzw. 152 ZGB auf, wenn der berechtigte Ehegatte sich wieder verheiratet. Die Vorinstanz geht in ihrem Entscheid davon aus, im Hinblick auf diese Bestimmung stelle es einen offenbaren Missbrauch eines Rechts dar, wenn der rentenberechtigte Ehegatte nach der Scheidung eine neue Lebensgemeinschaft mit einem Angehörigen des andern Geschlechts bilde, mit diesem aber nicht die Ehe eingehe, um der gesetzlichen Folge des Rentenverlustes BGE 104 II 154 S. 156 auszuweichen. Der Sachverhalt könne der Vereitelung des Eintritts einer rechtsgeschäftlichen Bedingung zur Seite gestellt werden, für welchen Fall Art. 156 OR aus dem allgemeinen Gebot des Handelns nach Treu und Glauben heraus bestimme, dass die Bedingung als erfüllt gelte. Dieser grundsätzlichen Erwägung ist zuzustimmen. Sie steht in Einklang mit der Lehre (HINDERLING, Das schweizerische Ehescheidungsrecht, 3. Aufl., S. 145 N. 1a; MERZ, N. 578 zu Art. 2 ZGB ). Was die Beklagte dagegen vorbringt, hält nicht stich. Gewiss lässt Art. 153 Abs. 1 ZGB die Rentenverpflichtung nur mit der Wiederverheiratung des berechtigten Ehegatten enden. Doch bleibt wie bei jeder Rechtsausübung auch hier der Tatbestand des Rechtsmissbrauchs vorbehalten. Dass in dieser Frage eine Bundesgerichtspraxis nicht besteht, ist sodann entgegen den Ausführungen in der Berufungsschrift ebensowenig von Bedeutung wie der Umstand, dass die Vorinstanz "lediglich" die erwähnte Stelle bei MERZ zitiert.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